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LT</w:t>
      </w:r>
      <w:r>
        <w:t xml:space="preserve"> </w:t>
      </w:r>
      <w:r>
        <w:br/>
      </w:r>
      <w:r>
        <w:rPr>
          <w:rFonts w:ascii="Times New Roman" w:hAnsi="Times New Roman"/>
          <w:b/>
          <w:sz w:val="24"/>
        </w:rPr>
        <w:t>VIII PRIEDAS</w:t>
      </w:r>
    </w:p>
    <w:p w14:paraId="7586364F" w14:textId="77777777" w:rsidR="00923A16" w:rsidRPr="00BD5172" w:rsidRDefault="00923A16" w:rsidP="00845EB1">
      <w:pPr>
        <w:jc w:val="center"/>
        <w:rPr>
          <w:rFonts w:ascii="Times New Roman" w:hAnsi="Times New Roman"/>
          <w:b/>
          <w:sz w:val="24"/>
          <w:lang w:val="es-ES"/>
        </w:rPr>
      </w:pPr>
    </w:p>
    <w:p w14:paraId="38DE6923" w14:textId="77777777" w:rsidR="00923A16" w:rsidRPr="00BD5172" w:rsidRDefault="00923A16" w:rsidP="00845EB1">
      <w:pPr>
        <w:jc w:val="center"/>
        <w:rPr>
          <w:rFonts w:ascii="Times New Roman" w:hAnsi="Times New Roman"/>
          <w:b/>
          <w:sz w:val="24"/>
          <w:lang w:val="es-ES"/>
        </w:rPr>
      </w:pPr>
    </w:p>
    <w:p w14:paraId="60311301" w14:textId="6E170F77" w:rsidR="0040604D" w:rsidRPr="0068244B" w:rsidRDefault="00515147" w:rsidP="00845EB1">
      <w:pPr>
        <w:jc w:val="center"/>
        <w:rPr>
          <w:b/>
          <w:u w:val="single"/>
        </w:rPr>
      </w:pPr>
      <w:r>
        <w:rPr>
          <w:b/>
          <w:u w:val="single"/>
        </w:rPr>
        <w:t>„XXI PRIEDAS</w:t>
      </w:r>
    </w:p>
    <w:p w14:paraId="55B2E7E1" w14:textId="45F1B4D9" w:rsidR="0040604D" w:rsidRPr="0068244B" w:rsidRDefault="0040604D" w:rsidP="00D02291">
      <w:pPr>
        <w:jc w:val="center"/>
        <w:rPr>
          <w:b/>
        </w:rPr>
      </w:pPr>
      <w:r>
        <w:rPr>
          <w:b/>
        </w:rPr>
        <w:t>XX PRIEDE PATEIKTOS LIKVIDUMO ATSVAROS PAJĖGUMO SUTELKIMO FORMOS (C 71.00) PILDYMO NURODYMAI</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Likvidumo atsvaros pajėgumo sutelkimas pagal emitentą / sandorio šalį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Siekdamos surinkti C 71.00 formai užpildyti reikalingą informaciją apie informaciją teikiančių įstaigų likvidumo atsvaros pajėgumo sutelkimą pagal dešimt didžiausių turto paketų arba likvidumo linijų, suteiktų įstaigai tam tikslui, įstaigos laikosi šiame priede pateiktų nurodymų.</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Kai emitentas arba sandorio šalis priskiriami prie daugiau nei vienos produktų rūšies, valiutos ar kredito kokybės žingsnio, nurodoma visa suma. Turi būti nurodyta produktų rūšis, valiuta ar kredito kokybės žingsnis, kurie yra susiję su didžiausia likvidumo atsvaros pajėgumo sutelkimo dalimi.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sidRPr="00BD5172">
        <w:rPr>
          <w:rFonts w:ascii="Times New Roman" w:hAnsi="Times New Roman"/>
          <w:sz w:val="24"/>
        </w:rPr>
        <w:t>C 71.00 formoje nurodytas likvidumo atsvaros pajėgumas yra toks pats, koks nurodytas C 66.01 formoje, su sąlyga, kad turtas, C 71.00 formoje nurodytas kaip likvidumo atsvaros pajėgumas, turi būti nesuvaržytas, kad įstaiga ataskaitinę datą galėtų jį konvertuoti į pinigus.</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Apskaičiuodamos C 71.00 formoje nurodytinus sutelkimo duomenis pagal reikšmingą valiutą, įstaigos naudoja sutelkimo duomenis visomis valiutomis.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Kai emitentas arba sandorio šalis priklauso kelioms susijusių klientų grupėms, jie nurodomi tik vieną kartą toje grupėje, kurios likvidumo atsvaros pajėgumo sutelkimas didesnis.</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Išskyrus 0120 eilutę, likvidumo atsvaros pajėgumo sutelkimas tuo atveju, kai emitentas arba sandorio šalis yra centrinis bankas, šioje lentelėje nenurodomas. Jeigu įstaiga turi centriniam bankui iš anksto pateikto turto standartinėms likvidumo operacijoms ir tas turtas priskiriamas prie dešimties didžiausių nesuvaržyto likvidumo atsvaros pajėgumo emitentų arba sandorio šalių, įstaiga nurodo pirminį emitentą ir pirminę produkto rūšį.</w:t>
      </w:r>
    </w:p>
    <w:p w14:paraId="423289FA" w14:textId="77777777" w:rsidR="00E05204" w:rsidRPr="00BD5172"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Skiltis</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Nuorodos į teisės aktus ir nurodymai</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Emitento pavadinimas</w:t>
            </w:r>
          </w:p>
          <w:p w14:paraId="36B02E7E" w14:textId="3FDFB966" w:rsidR="00E05204" w:rsidRPr="0068244B" w:rsidRDefault="00E05204" w:rsidP="00D665FC">
            <w:pPr>
              <w:rPr>
                <w:rFonts w:ascii="Times New Roman" w:hAnsi="Times New Roman"/>
                <w:sz w:val="24"/>
              </w:rPr>
            </w:pPr>
            <w:r>
              <w:rPr>
                <w:rFonts w:ascii="Times New Roman" w:hAnsi="Times New Roman"/>
                <w:sz w:val="24"/>
              </w:rPr>
              <w:t>Dešimties didžiausių nesuvaržyto turto emitentų arba nepanaudotų paskirtų likvidumo linijų, suteiktų įstaigai, sandorio šalių pavadinimai įrašomi 0010 skiltyje mažėjimo tvarka. Didžiausias emitentas įrašomas 1.01 punkte, antras pagal dydį – 1.02 punkte ir t. t.</w:t>
            </w:r>
            <w:r>
              <w:t xml:space="preserve"> </w:t>
            </w:r>
            <w:r>
              <w:rPr>
                <w:rFonts w:ascii="Times New Roman" w:hAnsi="Times New Roman"/>
                <w:sz w:val="24"/>
              </w:rPr>
              <w:t>Emitentai ir sandorio šalys, sudarantys susijusių klientų grupę, nurodomi kaip vienas sutelkimo atvejis.</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Įrašomas emitento arba sandorio šalies pavadinimas yra visas juridinio asmens, kuris išleido turtą arba suteikė likvidumo linijas, pavadinimas, įskaitant bet kokias nuorodas į bendrovės rūšį pagal nacionalinę bendrovių teisę.</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 kodas</w:t>
            </w:r>
          </w:p>
          <w:p w14:paraId="7861A1B2" w14:textId="0A8A8B52" w:rsidR="00E05204" w:rsidRPr="0068244B" w:rsidRDefault="00E05204" w:rsidP="00C05CCA">
            <w:pPr>
              <w:rPr>
                <w:b/>
                <w:sz w:val="24"/>
              </w:rPr>
            </w:pPr>
            <w:r>
              <w:rPr>
                <w:rFonts w:ascii="Times New Roman" w:hAnsi="Times New Roman"/>
                <w:sz w:val="24"/>
              </w:rPr>
              <w:t xml:space="preserve">Sandorio šalies juridinio asmens identifikatorius.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Emitento sektorius</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Atsižvelgiant į finansinės informacijos teikimo sistemos ([FINREP]) ekonomikos sektorių klases, kiekvienas emitentas arba sandorio šalis priskiriami prie vieno iš šių sektorių (žr. šio įgyvendinimo reglamento V priedo 1 dalį):</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valdžios sektoriaus institucijos; ii) kredito įstaigos; iii) kitos finansų bendrovės; iv) ne finansų bendrovės; v) namų ūkiai.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Jei tai yra susijusių klientų grupė, sektorius nenurodomas.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Emitento įsisteigimo vieta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Nurodomas emitento arba sandorio šalies įsisteigimo šalies ISO 3166–1 </w:t>
            </w:r>
            <w:proofErr w:type="spellStart"/>
            <w:r>
              <w:rPr>
                <w:rStyle w:val="FormatvorlageInstructionsTabelleText"/>
                <w:rFonts w:ascii="Times New Roman" w:hAnsi="Times New Roman"/>
                <w:sz w:val="24"/>
              </w:rPr>
              <w:t>dviraidis</w:t>
            </w:r>
            <w:proofErr w:type="spellEnd"/>
            <w:r>
              <w:rPr>
                <w:rStyle w:val="FormatvorlageInstructionsTabelleText"/>
                <w:rFonts w:ascii="Times New Roman" w:hAnsi="Times New Roman"/>
                <w:sz w:val="24"/>
              </w:rPr>
              <w:t xml:space="preserve"> kodas, įskaitant paskutiniame Eurostato „Mokėjimų balanso vadovo“ leidime nurodytus tarptautinių organizacijų ISO </w:t>
            </w:r>
            <w:proofErr w:type="spellStart"/>
            <w:r>
              <w:rPr>
                <w:rStyle w:val="FormatvorlageInstructionsTabelleText"/>
                <w:rFonts w:ascii="Times New Roman" w:hAnsi="Times New Roman"/>
                <w:sz w:val="24"/>
              </w:rPr>
              <w:t>pseudokodus</w:t>
            </w:r>
            <w:proofErr w:type="spellEnd"/>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Jei tai yra susijusių klientų grupė, šalis nenurodoma.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Produkto rūšis</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Emitentams / sandorio šalims, įrašytiems 0010 skiltyje, priskiriama produkto rūšis, </w:t>
            </w:r>
            <w:r>
              <w:rPr>
                <w:rStyle w:val="FormatvorlageInstructionsTabelleText"/>
                <w:rFonts w:ascii="Times New Roman" w:hAnsi="Times New Roman"/>
                <w:sz w:val="24"/>
              </w:rPr>
              <w:t>atitinkanti</w:t>
            </w:r>
            <w:r>
              <w:rPr>
                <w:rFonts w:ascii="Times New Roman" w:hAnsi="Times New Roman"/>
                <w:sz w:val="24"/>
              </w:rPr>
              <w:t xml:space="preserve"> produktą, kuriuo laikomas turtas arba gauta likvidumo palaikymo rezervo priemonė, naudojant paryškintuoju šriftu nurodytus kodus:</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pirmaeilė</w:t>
            </w:r>
            <w:r>
              <w:rPr>
                <w:rFonts w:ascii="Times New Roman" w:hAnsi="Times New Roman"/>
                <w:sz w:val="24"/>
              </w:rPr>
              <w:t xml:space="preserve"> obligacija)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subordinuotoji</w:t>
            </w:r>
            <w:r>
              <w:rPr>
                <w:rFonts w:ascii="Times New Roman" w:hAnsi="Times New Roman"/>
                <w:sz w:val="24"/>
              </w:rPr>
              <w:t xml:space="preserve"> obligacija)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komercinis</w:t>
            </w:r>
            <w:r>
              <w:rPr>
                <w:rFonts w:ascii="Times New Roman" w:hAnsi="Times New Roman"/>
                <w:sz w:val="24"/>
              </w:rPr>
              <w:t xml:space="preserve"> vekselis)</w:t>
            </w:r>
          </w:p>
          <w:p w14:paraId="71AB267C" w14:textId="77777777" w:rsidR="00E05204" w:rsidRPr="0068244B" w:rsidRDefault="00E05204">
            <w:pPr>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(padengtosios </w:t>
            </w:r>
            <w:r>
              <w:rPr>
                <w:rStyle w:val="FormatvorlageInstructionsTabelleText"/>
                <w:rFonts w:ascii="Times New Roman" w:hAnsi="Times New Roman"/>
                <w:sz w:val="24"/>
              </w:rPr>
              <w:t>obligacijos</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 (</w:t>
            </w:r>
            <w:r>
              <w:rPr>
                <w:rFonts w:ascii="Times New Roman" w:hAnsi="Times New Roman"/>
                <w:sz w:val="24"/>
              </w:rPr>
              <w:t>KIPVPS</w:t>
            </w:r>
            <w:r>
              <w:rPr>
                <w:rStyle w:val="FormatvorlageInstructionsTabelleText"/>
                <w:rFonts w:ascii="Times New Roman" w:hAnsi="Times New Roman"/>
                <w:sz w:val="24"/>
              </w:rPr>
              <w:t xml:space="preserve"> vertybiniai popieriai</w:t>
            </w:r>
            <w:r>
              <w:rPr>
                <w:rFonts w:ascii="Times New Roman" w:hAnsi="Times New Roman"/>
                <w:sz w:val="24"/>
              </w:rPr>
              <w:t>, t. y. finansinės priemonės: akcija arba vertybinis popierius, kurį išleido kolektyvinio investavimo į perleidžiamus vertybinius popierius subjektas)</w:t>
            </w:r>
          </w:p>
          <w:p w14:paraId="2E54EB88" w14:textId="77777777" w:rsidR="00E05204" w:rsidRPr="0068244B" w:rsidRDefault="00E05204">
            <w:pPr>
              <w:rPr>
                <w:rFonts w:ascii="Times New Roman" w:hAnsi="Times New Roman"/>
                <w:sz w:val="24"/>
              </w:rPr>
            </w:pPr>
            <w:r>
              <w:rPr>
                <w:rFonts w:ascii="Times New Roman" w:hAnsi="Times New Roman"/>
                <w:b/>
                <w:sz w:val="24"/>
              </w:rPr>
              <w:t>ABS (</w:t>
            </w:r>
            <w:r>
              <w:rPr>
                <w:rFonts w:ascii="Times New Roman" w:hAnsi="Times New Roman"/>
                <w:sz w:val="24"/>
              </w:rPr>
              <w:t>turtu užtikrintas vertybinis popierius)</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b/>
                <w:sz w:val="24"/>
              </w:rPr>
              <w:t xml:space="preserve"> </w:t>
            </w:r>
            <w:r>
              <w:rPr>
                <w:rFonts w:ascii="Times New Roman" w:hAnsi="Times New Roman"/>
                <w:sz w:val="24"/>
              </w:rPr>
              <w:t xml:space="preserve">(kredito </w:t>
            </w:r>
            <w:r>
              <w:rPr>
                <w:rStyle w:val="FormatvorlageInstructionsTabelleText"/>
                <w:rFonts w:ascii="Times New Roman" w:hAnsi="Times New Roman"/>
                <w:sz w:val="24"/>
              </w:rPr>
              <w:t>reikalavimas</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nuosavybės vertybiniai popieriai</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Auksas (jeigu tai fizinis auksas, kurį galima traktuoti kaip vieną sandorio šalį)</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įstaigai</w:t>
            </w:r>
            <w:r>
              <w:rPr>
                <w:rFonts w:ascii="Times New Roman" w:hAnsi="Times New Roman"/>
                <w:sz w:val="24"/>
              </w:rPr>
              <w:t xml:space="preserve"> suteikta nepanaudota paskirta likvidumo linija)</w:t>
            </w:r>
          </w:p>
          <w:p w14:paraId="23B5C30F" w14:textId="77777777" w:rsidR="00E05204" w:rsidRPr="0068244B" w:rsidRDefault="00E05204">
            <w:pPr>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kitos</w:t>
            </w:r>
            <w:r>
              <w:rPr>
                <w:rFonts w:ascii="Times New Roman" w:hAnsi="Times New Roman"/>
                <w:sz w:val="24"/>
              </w:rPr>
              <w:t xml:space="preserve"> rūšies produktas)</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Valiuta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0060 skiltyje pateikiamas emitentui / sandorio šalims, įrašytiems 0010 skiltyje, priskiriamas ISO valiutos kodas, atitinkantis gauto turto arba įstaigai suteiktų nepanaudotų paskirtų likvidumo linijų valiutą. Nurodomas ISO 4217 </w:t>
            </w:r>
            <w:proofErr w:type="spellStart"/>
            <w:r>
              <w:rPr>
                <w:rFonts w:ascii="Times New Roman" w:hAnsi="Times New Roman"/>
                <w:sz w:val="24"/>
              </w:rPr>
              <w:t>triraidis</w:t>
            </w:r>
            <w:proofErr w:type="spellEnd"/>
            <w:r>
              <w:rPr>
                <w:rFonts w:ascii="Times New Roman" w:hAnsi="Times New Roman"/>
                <w:sz w:val="24"/>
              </w:rPr>
              <w:t xml:space="preserve"> piniginio vieneto kodas. </w:t>
            </w:r>
          </w:p>
          <w:p w14:paraId="74611C9A" w14:textId="7CC928F5" w:rsidR="00774708" w:rsidRPr="0068244B" w:rsidRDefault="00047ECB" w:rsidP="00BC5835">
            <w:pPr>
              <w:rPr>
                <w:rFonts w:ascii="Times New Roman" w:hAnsi="Times New Roman"/>
                <w:sz w:val="24"/>
              </w:rPr>
            </w:pPr>
            <w:r>
              <w:rPr>
                <w:rFonts w:ascii="Times New Roman" w:hAnsi="Times New Roman"/>
                <w:sz w:val="24"/>
              </w:rPr>
              <w:t>Jeigu informacija apie likvidumo atsvaros pajėgumo sutelkimą apima eilutę, kurios duomenys išreikšti keliomis valiutomis, ta eilutė apskaičiuojama valiuta, kuri likusioje sutelkimo situacijoje vyrauja. Siekdamos atskirai pateikti informaciją pagal reikšmingas valiutas, kaip nurodyta Reglamento (ES) Nr. 575/2013 415 straipsnio 2 dalyje, įstaigos atlieka valiutos, kuria greičiausiai susidarys pinigų srautas, įvertinimą ir straipsnį pildo tik ta reikšminga valiuta, laikydamosi nurodymų dėl atskiro informacijos, susijusios su padengimo likvidžiuoju turtu reikalavimu (LCR) reikšmingomis valiutomis, teikimo, kaip nurodyta Reglamente (ES)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Kredito kokybės žingsnis</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Tinkamas kredito kokybės žingsnis priskiriamas pagal Reglamentą (ES) Nr. 575/2013 ir turi atitikti terminų atitikimo formoje nurodytų straipsnių kredito kokybės žingsnį. Kai reitingo nėra, nurodomas žingsnis „nereitinguota“.</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Rinkos vertė / nominalioji vertė</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Turto rinkos vertė arba tikroji vertė, arba atitinkamais atvejais įstaigai suteiktos nepanaudotos likvidumo linijos nominalioji vertė.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CB reikalavimus atitinkančių užtikrinimo priemonių vertė</w:t>
            </w:r>
          </w:p>
          <w:p w14:paraId="507C4FE8" w14:textId="2A6E5839" w:rsidR="00E05204" w:rsidRPr="0068244B" w:rsidRDefault="00E05204" w:rsidP="00047ECB">
            <w:pPr>
              <w:rPr>
                <w:rFonts w:ascii="Times New Roman" w:hAnsi="Times New Roman"/>
                <w:sz w:val="24"/>
              </w:rPr>
            </w:pPr>
            <w:r>
              <w:rPr>
                <w:rStyle w:val="FormatvorlageInstructionsTabelleText"/>
                <w:rFonts w:ascii="Times New Roman" w:hAnsi="Times New Roman"/>
                <w:sz w:val="24"/>
              </w:rPr>
              <w:t>Užtikrinimo priemonių</w:t>
            </w:r>
            <w:r>
              <w:rPr>
                <w:rFonts w:ascii="Times New Roman" w:hAnsi="Times New Roman"/>
                <w:sz w:val="24"/>
              </w:rPr>
              <w:t xml:space="preserve"> vertė pagal centrinio banko taisykles, taikomas nuolatinėms priemonėms, skirtoms specialiam turtui.</w:t>
            </w:r>
          </w:p>
          <w:p w14:paraId="4C124B93" w14:textId="0E66424F" w:rsidR="00BA0551" w:rsidRPr="0068244B" w:rsidRDefault="00B457F4" w:rsidP="00515147">
            <w:pPr>
              <w:rPr>
                <w:rFonts w:ascii="Times New Roman" w:hAnsi="Times New Roman"/>
                <w:sz w:val="24"/>
              </w:rPr>
            </w:pPr>
            <w:r>
              <w:rPr>
                <w:rFonts w:ascii="Times New Roman" w:hAnsi="Times New Roman"/>
                <w:sz w:val="24"/>
              </w:rPr>
              <w:t>Jeigu turtas išreikštas valiuta, kuri yra įtraukta į Komisijos įgyvendinimo reglamentą (ES) 2015/233</w:t>
            </w:r>
            <w:r>
              <w:rPr>
                <w:rFonts w:ascii="Times New Roman" w:hAnsi="Times New Roman"/>
                <w:sz w:val="24"/>
                <w:vertAlign w:val="superscript"/>
              </w:rPr>
              <w:t>*</w:t>
            </w:r>
            <w:r>
              <w:rPr>
                <w:rFonts w:ascii="Times New Roman" w:hAnsi="Times New Roman"/>
                <w:sz w:val="24"/>
              </w:rPr>
              <w:t xml:space="preserve"> kaip valiuta, kurios atžvilgiu atitikimo centrinio banko reikalavimams apibrėžtis yra itin siaura, įstaigos šio laukelio nepildo.“</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w:t>
      </w:r>
      <w:r>
        <w:t xml:space="preserve"> 2015 m. vasario 13 d. Komisijos įgyvendinimo reglamentu (ES) 2015/233, kuriuo pagal Europos Parlamento ir Tarybos reglamentą (ES) Nr. 575/2013 nustatomi techniniai įgyvendinimo standartai, susiję su valiutomis, kurių atžvilgiu atitikties Centrinio banko reikalavimams apibrėžtis yra itin siaura, (OL L 39, 2015 2 14, p.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3DE5" w14:textId="77777777" w:rsidR="0010626F" w:rsidRDefault="0010626F">
      <w:r>
        <w:separator/>
      </w:r>
    </w:p>
  </w:endnote>
  <w:endnote w:type="continuationSeparator" w:id="0">
    <w:p w14:paraId="2C160801" w14:textId="77777777" w:rsidR="0010626F" w:rsidRDefault="0010626F">
      <w:r>
        <w:continuationSeparator/>
      </w:r>
    </w:p>
  </w:endnote>
  <w:endnote w:type="continuationNotice" w:id="1">
    <w:p w14:paraId="3688FE7C" w14:textId="77777777" w:rsidR="0010626F" w:rsidRDefault="001062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59881" w14:textId="77777777" w:rsidR="0010626F" w:rsidRDefault="0010626F">
      <w:r>
        <w:separator/>
      </w:r>
    </w:p>
  </w:footnote>
  <w:footnote w:type="continuationSeparator" w:id="0">
    <w:p w14:paraId="58DD3A5F" w14:textId="77777777" w:rsidR="0010626F" w:rsidRDefault="0010626F">
      <w:r>
        <w:continuationSeparator/>
      </w:r>
    </w:p>
  </w:footnote>
  <w:footnote w:type="continuationNotice" w:id="1">
    <w:p w14:paraId="5A15A6B8" w14:textId="77777777" w:rsidR="0010626F" w:rsidRDefault="001062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246116227">
    <w:abstractNumId w:val="2"/>
  </w:num>
  <w:num w:numId="2" w16cid:durableId="1685470741">
    <w:abstractNumId w:val="1"/>
  </w:num>
  <w:num w:numId="3" w16cid:durableId="146049518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626F"/>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3F6A"/>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172"/>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3016"/>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t-L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t-L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t-LT"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t-L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t-L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8315226C-28FF-4799-9FA8-6BA743466138}"/>
</file>

<file path=customXml/itemProps4.xml><?xml version="1.0" encoding="utf-8"?>
<ds:datastoreItem xmlns:ds="http://schemas.openxmlformats.org/officeDocument/2006/customXml" ds:itemID="{2E44521A-7AF2-4955-91A0-592960EDF19B}"/>
</file>

<file path=customXml/itemProps5.xml><?xml version="1.0" encoding="utf-8"?>
<ds:datastoreItem xmlns:ds="http://schemas.openxmlformats.org/officeDocument/2006/customXml" ds:itemID="{67F24026-E568-4437-B34F-77FF7768805C}"/>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5479</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2025-01-23T11:14:05Z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47686b1a-61c7-497b-8284-a669576314ec</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